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7C0D" w14:textId="222BBE2F" w:rsidR="003251D6" w:rsidRDefault="00CA45E7" w:rsidP="00765B6B">
      <w:pPr>
        <w:pStyle w:val="NormalWeb"/>
        <w:rPr>
          <w:rFonts w:ascii="Calibri" w:hAnsi="Calibri" w:cs="Calibri"/>
          <w:b/>
          <w:bCs/>
        </w:rPr>
      </w:pPr>
      <w:r>
        <w:rPr>
          <w:rFonts w:asciiTheme="minorHAnsi" w:hAnsiTheme="minorHAnsi"/>
          <w:noProof/>
        </w:rPr>
        <w:drawing>
          <wp:anchor distT="0" distB="0" distL="114300" distR="114300" simplePos="0" relativeHeight="251662336" behindDoc="0" locked="0" layoutInCell="1" allowOverlap="1" wp14:anchorId="13EDF291" wp14:editId="5A92607C">
            <wp:simplePos x="0" y="0"/>
            <wp:positionH relativeFrom="column">
              <wp:posOffset>3087095</wp:posOffset>
            </wp:positionH>
            <wp:positionV relativeFrom="paragraph">
              <wp:posOffset>-99060</wp:posOffset>
            </wp:positionV>
            <wp:extent cx="2752725" cy="851404"/>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CAP_Logo_FlushNoteLeft_Black+Blue_GradientNo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2725" cy="85140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rPr>
        <w:drawing>
          <wp:anchor distT="0" distB="0" distL="114300" distR="114300" simplePos="0" relativeHeight="251661312" behindDoc="0" locked="0" layoutInCell="1" allowOverlap="1" wp14:anchorId="6998FC48" wp14:editId="48E051AA">
            <wp:simplePos x="0" y="0"/>
            <wp:positionH relativeFrom="column">
              <wp:posOffset>381000</wp:posOffset>
            </wp:positionH>
            <wp:positionV relativeFrom="paragraph">
              <wp:posOffset>-342900</wp:posOffset>
            </wp:positionV>
            <wp:extent cx="1184067" cy="1098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2-14.png"/>
                    <pic:cNvPicPr/>
                  </pic:nvPicPr>
                  <pic:blipFill>
                    <a:blip r:embed="rId9"/>
                    <a:stretch>
                      <a:fillRect/>
                    </a:stretch>
                  </pic:blipFill>
                  <pic:spPr>
                    <a:xfrm>
                      <a:off x="0" y="0"/>
                      <a:ext cx="1184067" cy="1098550"/>
                    </a:xfrm>
                    <a:prstGeom prst="rect">
                      <a:avLst/>
                    </a:prstGeom>
                  </pic:spPr>
                </pic:pic>
              </a:graphicData>
            </a:graphic>
            <wp14:sizeRelH relativeFrom="page">
              <wp14:pctWidth>0</wp14:pctWidth>
            </wp14:sizeRelH>
            <wp14:sizeRelV relativeFrom="page">
              <wp14:pctHeight>0</wp14:pctHeight>
            </wp14:sizeRelV>
          </wp:anchor>
        </w:drawing>
      </w:r>
    </w:p>
    <w:p w14:paraId="3E94D677" w14:textId="3368BE22" w:rsidR="003251D6" w:rsidRDefault="003251D6" w:rsidP="00765B6B">
      <w:pPr>
        <w:pStyle w:val="NormalWeb"/>
        <w:rPr>
          <w:rFonts w:ascii="Calibri" w:hAnsi="Calibri" w:cs="Calibri"/>
          <w:b/>
          <w:bCs/>
        </w:rPr>
      </w:pPr>
    </w:p>
    <w:p w14:paraId="4405B01C" w14:textId="4B3EA8C6" w:rsidR="003251D6" w:rsidRDefault="003251D6" w:rsidP="00765B6B">
      <w:pPr>
        <w:pStyle w:val="NormalWeb"/>
        <w:rPr>
          <w:rFonts w:ascii="Calibri" w:hAnsi="Calibri" w:cs="Calibri"/>
          <w:b/>
          <w:bCs/>
        </w:rPr>
      </w:pPr>
    </w:p>
    <w:p w14:paraId="76FB1ADE" w14:textId="3EAD2291" w:rsidR="00AC6654" w:rsidRPr="00AC6654" w:rsidRDefault="00AC6654" w:rsidP="00765B6B">
      <w:pPr>
        <w:pStyle w:val="NormalWeb"/>
        <w:rPr>
          <w:rFonts w:ascii="Calibri" w:hAnsi="Calibri" w:cs="Calibri"/>
          <w:bCs/>
        </w:rPr>
      </w:pPr>
      <w:r w:rsidRPr="00AC6654">
        <w:rPr>
          <w:rFonts w:ascii="Calibri" w:hAnsi="Calibri" w:cs="Calibri"/>
          <w:bCs/>
        </w:rPr>
        <w:t>February 28, 2019</w:t>
      </w:r>
    </w:p>
    <w:p w14:paraId="5D52E299" w14:textId="78A542A8" w:rsidR="00765B6B" w:rsidRDefault="00765B6B" w:rsidP="00765B6B">
      <w:pPr>
        <w:pStyle w:val="NormalWeb"/>
      </w:pPr>
      <w:r>
        <w:rPr>
          <w:rFonts w:ascii="Calibri" w:hAnsi="Calibri" w:cs="Calibri"/>
          <w:b/>
          <w:bCs/>
        </w:rPr>
        <w:t xml:space="preserve">BMI President &amp; CEO Mike O’Neill </w:t>
      </w:r>
      <w:r w:rsidR="003C32AF">
        <w:rPr>
          <w:rFonts w:ascii="Calibri" w:hAnsi="Calibri" w:cs="Calibri"/>
          <w:b/>
          <w:bCs/>
        </w:rPr>
        <w:t xml:space="preserve">and ASCAP CEO Elizabeth Matthews </w:t>
      </w:r>
      <w:r>
        <w:rPr>
          <w:rFonts w:ascii="Calibri" w:hAnsi="Calibri" w:cs="Calibri"/>
          <w:b/>
          <w:bCs/>
        </w:rPr>
        <w:t xml:space="preserve">Issue Open Letter to the Industry on Consent Decree Reform </w:t>
      </w:r>
    </w:p>
    <w:p w14:paraId="4FCBF534" w14:textId="7EA2DD4C" w:rsidR="00765B6B" w:rsidRDefault="00765B6B" w:rsidP="00765B6B">
      <w:pPr>
        <w:pStyle w:val="NormalWeb"/>
      </w:pPr>
      <w:r>
        <w:rPr>
          <w:rFonts w:ascii="Calibri" w:hAnsi="Calibri" w:cs="Calibri"/>
          <w:sz w:val="22"/>
          <w:szCs w:val="22"/>
        </w:rPr>
        <w:t xml:space="preserve">With the U.S. Department of Justice (DOJ) </w:t>
      </w:r>
      <w:r w:rsidR="000C6D33" w:rsidRPr="000C6D33">
        <w:rPr>
          <w:rFonts w:ascii="Calibri" w:hAnsi="Calibri" w:cs="Calibri"/>
          <w:sz w:val="22"/>
          <w:szCs w:val="22"/>
        </w:rPr>
        <w:t>evaluating the future</w:t>
      </w:r>
      <w:r w:rsidR="000C6D33">
        <w:rPr>
          <w:rFonts w:ascii="Calibri" w:hAnsi="Calibri" w:cs="Calibri"/>
          <w:sz w:val="22"/>
          <w:szCs w:val="22"/>
        </w:rPr>
        <w:t xml:space="preserve"> </w:t>
      </w:r>
      <w:r>
        <w:rPr>
          <w:rFonts w:ascii="Calibri" w:hAnsi="Calibri" w:cs="Calibri"/>
          <w:sz w:val="22"/>
          <w:szCs w:val="22"/>
        </w:rPr>
        <w:t xml:space="preserve">of the BMI and ASCAP consent decrees, there has been much discussion and concern throughout the industry about the potential long-term impact. This is not surprising, since modifying or sunsetting the decrees would have far-reaching implications for the entire music business. Given that BMI </w:t>
      </w:r>
      <w:r w:rsidR="003C32AF">
        <w:rPr>
          <w:rFonts w:ascii="Calibri" w:hAnsi="Calibri" w:cs="Calibri"/>
          <w:sz w:val="22"/>
          <w:szCs w:val="22"/>
        </w:rPr>
        <w:t xml:space="preserve">and ASCAP are </w:t>
      </w:r>
      <w:r>
        <w:rPr>
          <w:rFonts w:ascii="Calibri" w:hAnsi="Calibri" w:cs="Calibri"/>
          <w:sz w:val="22"/>
          <w:szCs w:val="22"/>
        </w:rPr>
        <w:t>at the core of this issue, we feel it is important to share our perspective on how potential changes to our decree</w:t>
      </w:r>
      <w:r w:rsidR="00AF70DF">
        <w:rPr>
          <w:rFonts w:ascii="Calibri" w:hAnsi="Calibri" w:cs="Calibri"/>
          <w:sz w:val="22"/>
          <w:szCs w:val="22"/>
        </w:rPr>
        <w:t>s</w:t>
      </w:r>
      <w:r>
        <w:rPr>
          <w:rFonts w:ascii="Calibri" w:hAnsi="Calibri" w:cs="Calibri"/>
          <w:sz w:val="22"/>
          <w:szCs w:val="22"/>
        </w:rPr>
        <w:t xml:space="preserve"> could benefit all involved – if done right. </w:t>
      </w:r>
    </w:p>
    <w:p w14:paraId="5E8A9BC3" w14:textId="77777777" w:rsidR="00765B6B" w:rsidRDefault="00765B6B" w:rsidP="00765B6B">
      <w:pPr>
        <w:pStyle w:val="NormalWeb"/>
      </w:pPr>
      <w:r>
        <w:rPr>
          <w:rFonts w:ascii="Calibri" w:hAnsi="Calibri" w:cs="Calibri"/>
          <w:sz w:val="22"/>
          <w:szCs w:val="22"/>
        </w:rPr>
        <w:t xml:space="preserve">The DOJ’s attention to this matter represents a clear opportunity to do what BMI </w:t>
      </w:r>
      <w:r w:rsidR="00CE0C26">
        <w:rPr>
          <w:rFonts w:ascii="Calibri" w:hAnsi="Calibri" w:cs="Calibri"/>
          <w:sz w:val="22"/>
          <w:szCs w:val="22"/>
        </w:rPr>
        <w:t xml:space="preserve">and ASCAP </w:t>
      </w:r>
      <w:r>
        <w:rPr>
          <w:rFonts w:ascii="Calibri" w:hAnsi="Calibri" w:cs="Calibri"/>
          <w:sz w:val="22"/>
          <w:szCs w:val="22"/>
        </w:rPr>
        <w:t>ha</w:t>
      </w:r>
      <w:r w:rsidR="003C32AF">
        <w:rPr>
          <w:rFonts w:ascii="Calibri" w:hAnsi="Calibri" w:cs="Calibri"/>
          <w:sz w:val="22"/>
          <w:szCs w:val="22"/>
        </w:rPr>
        <w:t>ve</w:t>
      </w:r>
      <w:r>
        <w:rPr>
          <w:rFonts w:ascii="Calibri" w:hAnsi="Calibri" w:cs="Calibri"/>
          <w:sz w:val="22"/>
          <w:szCs w:val="22"/>
        </w:rPr>
        <w:t xml:space="preserve"> been trying to do for years – modernize music licensing to better reflect the transformative changes in the industry. It’s why when we first heard about the possibility of the DOJ sunsetting the consent decrees, it came as welcome news. </w:t>
      </w:r>
    </w:p>
    <w:p w14:paraId="068679CF" w14:textId="77777777" w:rsidR="00765B6B" w:rsidRDefault="003C32AF" w:rsidP="00765B6B">
      <w:pPr>
        <w:pStyle w:val="NormalWeb"/>
      </w:pPr>
      <w:r>
        <w:rPr>
          <w:rFonts w:ascii="Calibri" w:hAnsi="Calibri" w:cs="Calibri"/>
          <w:sz w:val="22"/>
          <w:szCs w:val="22"/>
        </w:rPr>
        <w:t>We</w:t>
      </w:r>
      <w:r w:rsidR="00765B6B">
        <w:rPr>
          <w:rFonts w:ascii="Calibri" w:hAnsi="Calibri" w:cs="Calibri"/>
          <w:sz w:val="22"/>
          <w:szCs w:val="22"/>
        </w:rPr>
        <w:t xml:space="preserve"> believe that a free market with less government regulation is hands down the best way for music creators to be rewarded for their hard work and intellectual property. A free market would create a more productive, efficient and level playing field for everyone involved. Competition is a good thing. </w:t>
      </w:r>
    </w:p>
    <w:p w14:paraId="6FFBB83D" w14:textId="77777777" w:rsidR="00765B6B" w:rsidRDefault="00765B6B" w:rsidP="00765B6B">
      <w:pPr>
        <w:pStyle w:val="NormalWeb"/>
      </w:pPr>
      <w:r>
        <w:rPr>
          <w:rFonts w:ascii="Calibri" w:hAnsi="Calibri" w:cs="Calibri"/>
          <w:sz w:val="22"/>
          <w:szCs w:val="22"/>
        </w:rPr>
        <w:t>We also know that change is hard. The BMI and ASCAP consent decrees have been in place for nearly 80 years, and suddenly getting rid of them would provoke drastic changes to the current system that would cause chaos in the marketplace.</w:t>
      </w:r>
      <w:r w:rsidR="00333B2D">
        <w:rPr>
          <w:rFonts w:ascii="Calibri" w:hAnsi="Calibri" w:cs="Calibri"/>
          <w:sz w:val="22"/>
          <w:szCs w:val="22"/>
        </w:rPr>
        <w:t xml:space="preserve"> We</w:t>
      </w:r>
      <w:r>
        <w:rPr>
          <w:rFonts w:ascii="Calibri" w:hAnsi="Calibri" w:cs="Calibri"/>
          <w:sz w:val="22"/>
          <w:szCs w:val="22"/>
        </w:rPr>
        <w:t xml:space="preserve">’d venture to say all sides agree on this. </w:t>
      </w:r>
    </w:p>
    <w:p w14:paraId="26D7E549" w14:textId="77777777" w:rsidR="00765B6B" w:rsidRDefault="00765B6B" w:rsidP="00765B6B">
      <w:pPr>
        <w:pStyle w:val="NormalWeb"/>
      </w:pPr>
      <w:r>
        <w:rPr>
          <w:rFonts w:ascii="Calibri" w:hAnsi="Calibri" w:cs="Calibri"/>
          <w:sz w:val="22"/>
          <w:szCs w:val="22"/>
        </w:rPr>
        <w:t xml:space="preserve">So, in order to provide an orderly transition, we’re recommending the DOJ </w:t>
      </w:r>
      <w:r w:rsidR="003C32AF">
        <w:rPr>
          <w:rFonts w:ascii="Calibri" w:hAnsi="Calibri" w:cs="Calibri"/>
          <w:sz w:val="22"/>
          <w:szCs w:val="22"/>
        </w:rPr>
        <w:t xml:space="preserve">replace the current BMI </w:t>
      </w:r>
      <w:r w:rsidR="002A31AA">
        <w:rPr>
          <w:rFonts w:ascii="Calibri" w:hAnsi="Calibri" w:cs="Calibri"/>
          <w:sz w:val="22"/>
          <w:szCs w:val="22"/>
        </w:rPr>
        <w:t xml:space="preserve">and ASCAP </w:t>
      </w:r>
      <w:r w:rsidR="003C32AF">
        <w:rPr>
          <w:rFonts w:ascii="Calibri" w:hAnsi="Calibri" w:cs="Calibri"/>
          <w:sz w:val="22"/>
          <w:szCs w:val="22"/>
        </w:rPr>
        <w:t xml:space="preserve">consent decrees with </w:t>
      </w:r>
      <w:r>
        <w:rPr>
          <w:rFonts w:ascii="Calibri" w:hAnsi="Calibri" w:cs="Calibri"/>
          <w:sz w:val="22"/>
          <w:szCs w:val="22"/>
        </w:rPr>
        <w:t>newly formed decree</w:t>
      </w:r>
      <w:r w:rsidR="003C32AF">
        <w:rPr>
          <w:rFonts w:ascii="Calibri" w:hAnsi="Calibri" w:cs="Calibri"/>
          <w:sz w:val="22"/>
          <w:szCs w:val="22"/>
        </w:rPr>
        <w:t>s</w:t>
      </w:r>
      <w:r>
        <w:rPr>
          <w:rFonts w:ascii="Calibri" w:hAnsi="Calibri" w:cs="Calibri"/>
          <w:sz w:val="22"/>
          <w:szCs w:val="22"/>
        </w:rPr>
        <w:t xml:space="preserve"> that would protect all parties. Like all modern consent decrees, </w:t>
      </w:r>
      <w:r w:rsidR="003C32AF">
        <w:rPr>
          <w:rFonts w:ascii="Calibri" w:hAnsi="Calibri" w:cs="Calibri"/>
          <w:sz w:val="22"/>
          <w:szCs w:val="22"/>
        </w:rPr>
        <w:t xml:space="preserve">they </w:t>
      </w:r>
      <w:r>
        <w:rPr>
          <w:rFonts w:ascii="Calibri" w:hAnsi="Calibri" w:cs="Calibri"/>
          <w:sz w:val="22"/>
          <w:szCs w:val="22"/>
        </w:rPr>
        <w:t xml:space="preserve">would also include a sunset provision. </w:t>
      </w:r>
      <w:r w:rsidR="008C0B40">
        <w:rPr>
          <w:rFonts w:ascii="Calibri" w:hAnsi="Calibri" w:cs="Calibri"/>
          <w:sz w:val="22"/>
          <w:szCs w:val="22"/>
        </w:rPr>
        <w:t xml:space="preserve">Those </w:t>
      </w:r>
      <w:r w:rsidR="003B78EB">
        <w:rPr>
          <w:rFonts w:ascii="Calibri" w:hAnsi="Calibri" w:cs="Calibri"/>
          <w:sz w:val="22"/>
          <w:szCs w:val="22"/>
        </w:rPr>
        <w:t xml:space="preserve">new </w:t>
      </w:r>
      <w:r w:rsidR="008C0B40">
        <w:rPr>
          <w:rFonts w:ascii="Calibri" w:hAnsi="Calibri" w:cs="Calibri"/>
          <w:sz w:val="22"/>
          <w:szCs w:val="22"/>
        </w:rPr>
        <w:t>decrees would contain four key provisions</w:t>
      </w:r>
      <w:r w:rsidR="00C2003E">
        <w:rPr>
          <w:rFonts w:ascii="Calibri" w:hAnsi="Calibri" w:cs="Calibri"/>
          <w:sz w:val="22"/>
          <w:szCs w:val="22"/>
        </w:rPr>
        <w:t>:</w:t>
      </w:r>
    </w:p>
    <w:p w14:paraId="4383F55D" w14:textId="77777777" w:rsidR="00765B6B" w:rsidRDefault="00765B6B" w:rsidP="00765B6B">
      <w:pPr>
        <w:pStyle w:val="NormalWeb"/>
        <w:numPr>
          <w:ilvl w:val="0"/>
          <w:numId w:val="1"/>
        </w:numPr>
        <w:rPr>
          <w:rFonts w:ascii="SymbolMT" w:hAnsi="SymbolMT"/>
          <w:sz w:val="22"/>
          <w:szCs w:val="22"/>
        </w:rPr>
      </w:pPr>
      <w:r>
        <w:rPr>
          <w:rFonts w:ascii="Calibri" w:hAnsi="Calibri" w:cs="Calibri"/>
          <w:sz w:val="22"/>
          <w:szCs w:val="22"/>
        </w:rPr>
        <w:t xml:space="preserve">First, allow all music users to still gain automatic access to the BMI </w:t>
      </w:r>
      <w:r w:rsidR="003C32AF">
        <w:rPr>
          <w:rFonts w:ascii="Calibri" w:hAnsi="Calibri" w:cs="Calibri"/>
          <w:sz w:val="22"/>
          <w:szCs w:val="22"/>
        </w:rPr>
        <w:t xml:space="preserve">and ASCAP </w:t>
      </w:r>
      <w:r>
        <w:rPr>
          <w:rFonts w:ascii="Calibri" w:hAnsi="Calibri" w:cs="Calibri"/>
          <w:sz w:val="22"/>
          <w:szCs w:val="22"/>
        </w:rPr>
        <w:t>repertoire</w:t>
      </w:r>
      <w:r w:rsidR="003C32AF">
        <w:rPr>
          <w:rFonts w:ascii="Calibri" w:hAnsi="Calibri" w:cs="Calibri"/>
          <w:sz w:val="22"/>
          <w:szCs w:val="22"/>
        </w:rPr>
        <w:t>s</w:t>
      </w:r>
      <w:r>
        <w:rPr>
          <w:rFonts w:ascii="Calibri" w:hAnsi="Calibri" w:cs="Calibri"/>
          <w:sz w:val="22"/>
          <w:szCs w:val="22"/>
        </w:rPr>
        <w:t xml:space="preserve"> with the immediate right to public performance. However, this right should be contingent upon a fairer, more efficient, less costly and automatic mechanism for the payment of interim fees. </w:t>
      </w:r>
    </w:p>
    <w:p w14:paraId="3868D471" w14:textId="77777777" w:rsidR="00765B6B" w:rsidRDefault="00765B6B" w:rsidP="00765B6B">
      <w:pPr>
        <w:pStyle w:val="NormalWeb"/>
        <w:numPr>
          <w:ilvl w:val="0"/>
          <w:numId w:val="1"/>
        </w:numPr>
        <w:rPr>
          <w:rFonts w:ascii="SymbolMT" w:hAnsi="SymbolMT"/>
          <w:sz w:val="22"/>
          <w:szCs w:val="22"/>
        </w:rPr>
      </w:pPr>
      <w:r>
        <w:rPr>
          <w:rFonts w:ascii="Calibri" w:hAnsi="Calibri" w:cs="Calibri"/>
          <w:sz w:val="22"/>
          <w:szCs w:val="22"/>
        </w:rPr>
        <w:t xml:space="preserve">Second, retain the rate court process for resolution of rate disputes, as recently reformed by </w:t>
      </w:r>
      <w:r>
        <w:rPr>
          <w:rFonts w:ascii="Calibri" w:hAnsi="Calibri" w:cs="Calibri"/>
          <w:sz w:val="22"/>
          <w:szCs w:val="22"/>
          <w:shd w:val="clear" w:color="auto" w:fill="FFFFFF"/>
        </w:rPr>
        <w:t xml:space="preserve">the Orrin G. Hatch-Bob Goodlatte Music Modernization Act (MMA). </w:t>
      </w:r>
    </w:p>
    <w:p w14:paraId="28AABCDB" w14:textId="77777777" w:rsidR="00765B6B" w:rsidRDefault="00765B6B" w:rsidP="00765B6B">
      <w:pPr>
        <w:pStyle w:val="NormalWeb"/>
        <w:numPr>
          <w:ilvl w:val="0"/>
          <w:numId w:val="1"/>
        </w:numPr>
        <w:rPr>
          <w:rFonts w:ascii="SymbolMT" w:hAnsi="SymbolMT"/>
          <w:sz w:val="22"/>
          <w:szCs w:val="22"/>
        </w:rPr>
      </w:pPr>
      <w:r>
        <w:rPr>
          <w:rFonts w:ascii="Calibri" w:hAnsi="Calibri" w:cs="Calibri"/>
          <w:sz w:val="22"/>
          <w:szCs w:val="22"/>
        </w:rPr>
        <w:t xml:space="preserve">Third, BMI </w:t>
      </w:r>
      <w:r w:rsidR="003C32AF">
        <w:rPr>
          <w:rFonts w:ascii="Calibri" w:hAnsi="Calibri" w:cs="Calibri"/>
          <w:sz w:val="22"/>
          <w:szCs w:val="22"/>
        </w:rPr>
        <w:t xml:space="preserve">and ASCAP </w:t>
      </w:r>
      <w:r>
        <w:rPr>
          <w:rFonts w:ascii="Calibri" w:hAnsi="Calibri" w:cs="Calibri"/>
          <w:sz w:val="22"/>
          <w:szCs w:val="22"/>
        </w:rPr>
        <w:t xml:space="preserve">will continue to receive non-exclusive U.S. rights from our writers and publishers, which allows licensees, songwriters, composers and publishers to still do direct deals if they so choose. </w:t>
      </w:r>
    </w:p>
    <w:p w14:paraId="6253572C" w14:textId="6140C021" w:rsidR="00C37574" w:rsidRPr="00C37574" w:rsidRDefault="00765B6B" w:rsidP="00C37574">
      <w:pPr>
        <w:pStyle w:val="NormalWeb"/>
        <w:numPr>
          <w:ilvl w:val="0"/>
          <w:numId w:val="1"/>
        </w:numPr>
        <w:rPr>
          <w:rFonts w:ascii="SymbolMT" w:hAnsi="SymbolMT"/>
          <w:sz w:val="22"/>
          <w:szCs w:val="22"/>
        </w:rPr>
      </w:pPr>
      <w:r>
        <w:rPr>
          <w:rFonts w:ascii="Calibri" w:hAnsi="Calibri" w:cs="Calibri"/>
          <w:sz w:val="22"/>
          <w:szCs w:val="22"/>
        </w:rPr>
        <w:t>Fourth, preserve the current forms of licenses that the industry has grown accustomed to beyond the traditional blanket license, such as the adjustable fee blanket license and the per- program license.</w:t>
      </w:r>
    </w:p>
    <w:p w14:paraId="00733B4B" w14:textId="77777777" w:rsidR="00765B6B" w:rsidRDefault="00765B6B" w:rsidP="000A7EE2">
      <w:pPr>
        <w:pStyle w:val="NormalWeb"/>
        <w:rPr>
          <w:rFonts w:ascii="SymbolMT" w:hAnsi="SymbolMT"/>
          <w:sz w:val="22"/>
          <w:szCs w:val="22"/>
        </w:rPr>
      </w:pPr>
      <w:r>
        <w:rPr>
          <w:rFonts w:ascii="Calibri" w:hAnsi="Calibri" w:cs="Calibri"/>
          <w:sz w:val="22"/>
          <w:szCs w:val="22"/>
        </w:rPr>
        <w:lastRenderedPageBreak/>
        <w:t>These provisions will allow the industry to function</w:t>
      </w:r>
      <w:bookmarkStart w:id="0" w:name="_GoBack"/>
      <w:bookmarkEnd w:id="0"/>
      <w:r>
        <w:rPr>
          <w:rFonts w:ascii="Calibri" w:hAnsi="Calibri" w:cs="Calibri"/>
          <w:sz w:val="22"/>
          <w:szCs w:val="22"/>
        </w:rPr>
        <w:t xml:space="preserve"> more efficiently and effectively, and facilitate a thoughtful transition to a free market. </w:t>
      </w:r>
    </w:p>
    <w:p w14:paraId="5FB650A9" w14:textId="77777777" w:rsidR="00765B6B" w:rsidRDefault="00765B6B" w:rsidP="000A7EE2">
      <w:pPr>
        <w:pStyle w:val="NormalWeb"/>
      </w:pPr>
      <w:r>
        <w:rPr>
          <w:rFonts w:ascii="Calibri" w:hAnsi="Calibri" w:cs="Calibri"/>
          <w:sz w:val="22"/>
          <w:szCs w:val="22"/>
        </w:rPr>
        <w:t xml:space="preserve">But a word of caution. As we’ve seen over the years, some organizations will try to use this moment and BMI’s </w:t>
      </w:r>
      <w:r w:rsidR="00CE0C26">
        <w:rPr>
          <w:rFonts w:ascii="Calibri" w:hAnsi="Calibri" w:cs="Calibri"/>
          <w:sz w:val="22"/>
          <w:szCs w:val="22"/>
        </w:rPr>
        <w:t xml:space="preserve">and ASCAP’s </w:t>
      </w:r>
      <w:r>
        <w:rPr>
          <w:rFonts w:ascii="Calibri" w:hAnsi="Calibri" w:cs="Calibri"/>
          <w:sz w:val="22"/>
          <w:szCs w:val="22"/>
        </w:rPr>
        <w:t>consent decree</w:t>
      </w:r>
      <w:r w:rsidR="003C32AF">
        <w:rPr>
          <w:rFonts w:ascii="Calibri" w:hAnsi="Calibri" w:cs="Calibri"/>
          <w:sz w:val="22"/>
          <w:szCs w:val="22"/>
        </w:rPr>
        <w:t>s</w:t>
      </w:r>
      <w:r>
        <w:rPr>
          <w:rFonts w:ascii="Calibri" w:hAnsi="Calibri" w:cs="Calibri"/>
          <w:sz w:val="22"/>
          <w:szCs w:val="22"/>
        </w:rPr>
        <w:t xml:space="preserve"> to serve their own interests at the expense of the songwriter. Old and new issues could come into play, such as 100% licensing, or, even more concerning, a push in Congress by music users to create a compulsory licensing model. Compulsory licensing would take us backwards, not forward, creating a system in which the government – not the market – would determine the value of songwriters’ work. It could also have dire consequences for other creative industries. </w:t>
      </w:r>
    </w:p>
    <w:p w14:paraId="704147DF" w14:textId="00B8DC7C" w:rsidR="00765B6B" w:rsidRDefault="00765B6B" w:rsidP="00765B6B">
      <w:pPr>
        <w:pStyle w:val="NormalWeb"/>
      </w:pPr>
      <w:r>
        <w:rPr>
          <w:rFonts w:ascii="Calibri" w:hAnsi="Calibri" w:cs="Calibri"/>
          <w:sz w:val="22"/>
          <w:szCs w:val="22"/>
        </w:rPr>
        <w:t xml:space="preserve">In fact, we see no scenario in which more government regulation of this industry would benefit anyone. </w:t>
      </w:r>
    </w:p>
    <w:p w14:paraId="136F3192" w14:textId="77777777" w:rsidR="00765B6B" w:rsidRDefault="00765B6B" w:rsidP="00765B6B">
      <w:pPr>
        <w:pStyle w:val="NormalWeb"/>
      </w:pPr>
      <w:r>
        <w:rPr>
          <w:rFonts w:ascii="Calibri" w:hAnsi="Calibri" w:cs="Calibri"/>
          <w:sz w:val="22"/>
          <w:szCs w:val="22"/>
        </w:rPr>
        <w:t xml:space="preserve">It’s important to remind everyone that protections exist today, in the form of antitrust laws, that would continue to exist in a post-decree world and govern current parties as well as any future market entrants. We don’t need to create or rewrite legislation to accomplish what antitrust laws already effectively oversee. PROs and licensees all have the same goal of keeping music flowing to the public. </w:t>
      </w:r>
    </w:p>
    <w:p w14:paraId="2BCD75BF" w14:textId="77777777" w:rsidR="00765B6B" w:rsidRDefault="00765B6B" w:rsidP="00765B6B">
      <w:pPr>
        <w:pStyle w:val="NormalWeb"/>
      </w:pPr>
      <w:r>
        <w:rPr>
          <w:rFonts w:ascii="Calibri" w:hAnsi="Calibri" w:cs="Calibri"/>
          <w:sz w:val="22"/>
          <w:szCs w:val="22"/>
        </w:rPr>
        <w:t xml:space="preserve">Ultimately, a vibrant PRO system is important to maintain the balance of the industry. With more music being used than ever before, it is critical to safeguard the value of the performing right and grow the income stream it generates for creators. BMI </w:t>
      </w:r>
      <w:r w:rsidR="00BB6573">
        <w:rPr>
          <w:rFonts w:ascii="Calibri" w:hAnsi="Calibri" w:cs="Calibri"/>
          <w:sz w:val="22"/>
          <w:szCs w:val="22"/>
        </w:rPr>
        <w:t xml:space="preserve">and ASCAP </w:t>
      </w:r>
      <w:r>
        <w:rPr>
          <w:rFonts w:ascii="Calibri" w:hAnsi="Calibri" w:cs="Calibri"/>
          <w:sz w:val="22"/>
          <w:szCs w:val="22"/>
        </w:rPr>
        <w:t xml:space="preserve">operate on a non-profit-making basis, returning nearly 90 cents of every dollar in licensing fees to our songwriters, composers and music publishers, and we do this in the most efficient and effective way possible. Simply put, BMI </w:t>
      </w:r>
      <w:r w:rsidR="003C32AF">
        <w:rPr>
          <w:rFonts w:ascii="Calibri" w:hAnsi="Calibri" w:cs="Calibri"/>
          <w:sz w:val="22"/>
          <w:szCs w:val="22"/>
        </w:rPr>
        <w:t xml:space="preserve">and ASCAP </w:t>
      </w:r>
      <w:r>
        <w:rPr>
          <w:rFonts w:ascii="Calibri" w:hAnsi="Calibri" w:cs="Calibri"/>
          <w:sz w:val="22"/>
          <w:szCs w:val="22"/>
        </w:rPr>
        <w:t xml:space="preserve">offer an essential layer of protection for creators, from helping them through the early stages of their careers, to tracking and paying on performances across all mediums, and advocating for their rights on Capitol Hill. All of this helps keep the music flowing and enables licensees to play the world’s best music today, as well as the hits that will be created in the future. </w:t>
      </w:r>
    </w:p>
    <w:p w14:paraId="042AF3B6" w14:textId="77777777" w:rsidR="00765B6B" w:rsidRDefault="00765B6B" w:rsidP="00765B6B">
      <w:pPr>
        <w:pStyle w:val="NormalWeb"/>
      </w:pPr>
      <w:r>
        <w:rPr>
          <w:rFonts w:ascii="Calibri" w:hAnsi="Calibri" w:cs="Calibri"/>
          <w:sz w:val="22"/>
          <w:szCs w:val="22"/>
        </w:rPr>
        <w:t>We don’t have to look far back to see just how much we can accomplish when the industry comes together and puts music first. The MMA was signed into law because creators and licensees found common ground and solutions that supported the greater good of the industry. That greater good is reflected in the four provisions we are recommending to the DOJ that don’t necessarily benefit BMI</w:t>
      </w:r>
      <w:r w:rsidR="00BB6573">
        <w:rPr>
          <w:rFonts w:ascii="Calibri" w:hAnsi="Calibri" w:cs="Calibri"/>
          <w:sz w:val="22"/>
          <w:szCs w:val="22"/>
        </w:rPr>
        <w:t xml:space="preserve"> and ASCAP</w:t>
      </w:r>
      <w:r>
        <w:rPr>
          <w:rFonts w:ascii="Calibri" w:hAnsi="Calibri" w:cs="Calibri"/>
          <w:sz w:val="22"/>
          <w:szCs w:val="22"/>
        </w:rPr>
        <w:t xml:space="preserve">, but stand to benefit the industry at large. It is that same spirit of compromise which will allow both our licensees and the music creators we represent to thrive in this new era. </w:t>
      </w:r>
    </w:p>
    <w:p w14:paraId="2FA7D9ED" w14:textId="77777777" w:rsidR="000A7EE2" w:rsidRDefault="000A7EE2" w:rsidP="00765B6B">
      <w:pPr>
        <w:pStyle w:val="NormalWeb"/>
        <w:rPr>
          <w:rFonts w:ascii="Calibri" w:hAnsi="Calibri" w:cs="Calibri"/>
          <w:b/>
          <w:bCs/>
          <w:sz w:val="22"/>
          <w:szCs w:val="22"/>
        </w:rPr>
      </w:pPr>
    </w:p>
    <w:p w14:paraId="65B47CB0" w14:textId="1E9B3A1E" w:rsidR="00457AC1" w:rsidRDefault="00102071" w:rsidP="00765B6B">
      <w:pPr>
        <w:pStyle w:val="NormalWeb"/>
        <w:rPr>
          <w:rFonts w:asciiTheme="minorHAnsi" w:hAnsiTheme="minorHAnsi" w:cstheme="minorHAnsi"/>
          <w:b/>
          <w:bCs/>
          <w:sz w:val="22"/>
          <w:szCs w:val="22"/>
        </w:rPr>
      </w:pPr>
      <w:r w:rsidRPr="00102071">
        <w:rPr>
          <w:rFonts w:cstheme="minorHAnsi"/>
          <w:b/>
          <w:bCs/>
          <w:noProof/>
          <w:sz w:val="22"/>
          <w:szCs w:val="22"/>
        </w:rPr>
        <w:drawing>
          <wp:anchor distT="0" distB="0" distL="114300" distR="114300" simplePos="0" relativeHeight="251658240" behindDoc="0" locked="0" layoutInCell="1" allowOverlap="1" wp14:anchorId="087E5E0B" wp14:editId="2D43A41B">
            <wp:simplePos x="0" y="0"/>
            <wp:positionH relativeFrom="column">
              <wp:posOffset>3529965</wp:posOffset>
            </wp:positionH>
            <wp:positionV relativeFrom="paragraph">
              <wp:posOffset>9525</wp:posOffset>
            </wp:positionV>
            <wp:extent cx="2684207" cy="71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84207" cy="711200"/>
                    </a:xfrm>
                    <a:prstGeom prst="rect">
                      <a:avLst/>
                    </a:prstGeom>
                  </pic:spPr>
                </pic:pic>
              </a:graphicData>
            </a:graphic>
            <wp14:sizeRelH relativeFrom="page">
              <wp14:pctWidth>0</wp14:pctWidth>
            </wp14:sizeRelH>
            <wp14:sizeRelV relativeFrom="page">
              <wp14:pctHeight>0</wp14:pctHeight>
            </wp14:sizeRelV>
          </wp:anchor>
        </w:drawing>
      </w:r>
      <w:r w:rsidR="0085276E" w:rsidRPr="0085276E">
        <w:rPr>
          <w:rFonts w:ascii="Calibri" w:hAnsi="Calibri" w:cs="Calibri"/>
          <w:b/>
          <w:bCs/>
          <w:noProof/>
        </w:rPr>
        <w:drawing>
          <wp:inline distT="0" distB="0" distL="0" distR="0" wp14:anchorId="2FC4BFDC" wp14:editId="2A011B49">
            <wp:extent cx="22606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60600" cy="647700"/>
                    </a:xfrm>
                    <a:prstGeom prst="rect">
                      <a:avLst/>
                    </a:prstGeom>
                  </pic:spPr>
                </pic:pic>
              </a:graphicData>
            </a:graphic>
          </wp:inline>
        </w:drawing>
      </w:r>
      <w:r w:rsidRPr="00102071">
        <w:rPr>
          <w:noProof/>
        </w:rPr>
        <w:t xml:space="preserve"> </w:t>
      </w:r>
    </w:p>
    <w:p w14:paraId="1D97804E" w14:textId="33E70C9C" w:rsidR="00CC75D4" w:rsidRDefault="00765B6B" w:rsidP="000A7EE2">
      <w:pPr>
        <w:pStyle w:val="NormalWeb"/>
      </w:pPr>
      <w:r w:rsidRPr="000A7EE2">
        <w:rPr>
          <w:rFonts w:asciiTheme="minorHAnsi" w:hAnsiTheme="minorHAnsi" w:cstheme="minorHAnsi"/>
          <w:b/>
          <w:bCs/>
          <w:sz w:val="22"/>
          <w:szCs w:val="22"/>
        </w:rPr>
        <w:t xml:space="preserve">Mike O'Neill </w:t>
      </w:r>
      <w:r w:rsidR="000A7EE2">
        <w:rPr>
          <w:rFonts w:asciiTheme="minorHAnsi" w:hAnsiTheme="minorHAnsi" w:cstheme="minorHAnsi"/>
          <w:b/>
          <w:bCs/>
          <w:sz w:val="22"/>
          <w:szCs w:val="22"/>
        </w:rPr>
        <w:tab/>
      </w:r>
      <w:r w:rsidR="000A7EE2">
        <w:rPr>
          <w:rFonts w:asciiTheme="minorHAnsi" w:hAnsiTheme="minorHAnsi" w:cstheme="minorHAnsi"/>
          <w:b/>
          <w:bCs/>
          <w:sz w:val="22"/>
          <w:szCs w:val="22"/>
        </w:rPr>
        <w:tab/>
      </w:r>
      <w:r w:rsidR="000A7EE2">
        <w:rPr>
          <w:rFonts w:asciiTheme="minorHAnsi" w:hAnsiTheme="minorHAnsi" w:cstheme="minorHAnsi"/>
          <w:b/>
          <w:bCs/>
          <w:sz w:val="22"/>
          <w:szCs w:val="22"/>
        </w:rPr>
        <w:tab/>
      </w:r>
      <w:r w:rsidR="000A7EE2">
        <w:rPr>
          <w:rFonts w:asciiTheme="minorHAnsi" w:hAnsiTheme="minorHAnsi" w:cstheme="minorHAnsi"/>
          <w:b/>
          <w:bCs/>
          <w:sz w:val="22"/>
          <w:szCs w:val="22"/>
        </w:rPr>
        <w:tab/>
      </w:r>
      <w:r w:rsidR="000A7EE2">
        <w:rPr>
          <w:rFonts w:asciiTheme="minorHAnsi" w:hAnsiTheme="minorHAnsi" w:cstheme="minorHAnsi"/>
          <w:b/>
          <w:bCs/>
          <w:sz w:val="22"/>
          <w:szCs w:val="22"/>
        </w:rPr>
        <w:tab/>
      </w:r>
      <w:r w:rsidR="000A7EE2">
        <w:rPr>
          <w:rFonts w:asciiTheme="minorHAnsi" w:hAnsiTheme="minorHAnsi" w:cstheme="minorHAnsi"/>
          <w:b/>
          <w:bCs/>
          <w:sz w:val="22"/>
          <w:szCs w:val="22"/>
        </w:rPr>
        <w:tab/>
      </w:r>
      <w:r w:rsidR="000A7EE2">
        <w:rPr>
          <w:rFonts w:asciiTheme="minorHAnsi" w:hAnsiTheme="minorHAnsi" w:cstheme="minorHAnsi"/>
          <w:b/>
          <w:bCs/>
          <w:sz w:val="22"/>
          <w:szCs w:val="22"/>
        </w:rPr>
        <w:tab/>
      </w:r>
      <w:r w:rsidR="000A7EE2" w:rsidRPr="00436DC7">
        <w:rPr>
          <w:rFonts w:ascii="Calibri" w:hAnsi="Calibri" w:cs="Calibri"/>
          <w:b/>
          <w:sz w:val="22"/>
          <w:szCs w:val="22"/>
        </w:rPr>
        <w:t>Elizabeth Matthews</w:t>
      </w:r>
      <w:r w:rsidR="000A7EE2" w:rsidRPr="000A7EE2">
        <w:rPr>
          <w:rFonts w:asciiTheme="minorHAnsi" w:hAnsiTheme="minorHAnsi" w:cstheme="minorHAnsi"/>
          <w:sz w:val="22"/>
          <w:szCs w:val="22"/>
        </w:rPr>
        <w:br/>
      </w:r>
      <w:r w:rsidRPr="000A7EE2">
        <w:rPr>
          <w:rFonts w:asciiTheme="minorHAnsi" w:hAnsiTheme="minorHAnsi" w:cstheme="minorHAnsi"/>
          <w:sz w:val="22"/>
          <w:szCs w:val="22"/>
        </w:rPr>
        <w:t xml:space="preserve">President and CEO </w:t>
      </w:r>
      <w:r w:rsidR="000A7EE2">
        <w:rPr>
          <w:rFonts w:asciiTheme="minorHAnsi" w:hAnsiTheme="minorHAnsi" w:cstheme="minorHAnsi"/>
          <w:sz w:val="22"/>
          <w:szCs w:val="22"/>
        </w:rPr>
        <w:tab/>
      </w:r>
      <w:r w:rsidR="000A7EE2">
        <w:rPr>
          <w:rFonts w:asciiTheme="minorHAnsi" w:hAnsiTheme="minorHAnsi" w:cstheme="minorHAnsi"/>
          <w:sz w:val="22"/>
          <w:szCs w:val="22"/>
        </w:rPr>
        <w:tab/>
      </w:r>
      <w:r w:rsidR="000A7EE2">
        <w:rPr>
          <w:rFonts w:asciiTheme="minorHAnsi" w:hAnsiTheme="minorHAnsi" w:cstheme="minorHAnsi"/>
          <w:sz w:val="22"/>
          <w:szCs w:val="22"/>
        </w:rPr>
        <w:tab/>
      </w:r>
      <w:r w:rsidR="000A7EE2">
        <w:rPr>
          <w:rFonts w:asciiTheme="minorHAnsi" w:hAnsiTheme="minorHAnsi" w:cstheme="minorHAnsi"/>
          <w:sz w:val="22"/>
          <w:szCs w:val="22"/>
        </w:rPr>
        <w:tab/>
      </w:r>
      <w:r w:rsidR="000A7EE2">
        <w:rPr>
          <w:rFonts w:asciiTheme="minorHAnsi" w:hAnsiTheme="minorHAnsi" w:cstheme="minorHAnsi"/>
          <w:sz w:val="22"/>
          <w:szCs w:val="22"/>
        </w:rPr>
        <w:tab/>
      </w:r>
      <w:r w:rsidR="000A7EE2">
        <w:rPr>
          <w:rFonts w:asciiTheme="minorHAnsi" w:hAnsiTheme="minorHAnsi" w:cstheme="minorHAnsi"/>
          <w:sz w:val="22"/>
          <w:szCs w:val="22"/>
        </w:rPr>
        <w:tab/>
      </w:r>
      <w:proofErr w:type="spellStart"/>
      <w:r w:rsidR="000A7EE2" w:rsidRPr="0019637D">
        <w:rPr>
          <w:rFonts w:ascii="Calibri" w:hAnsi="Calibri" w:cs="Calibri"/>
          <w:sz w:val="22"/>
          <w:szCs w:val="22"/>
        </w:rPr>
        <w:t>CEO</w:t>
      </w:r>
      <w:proofErr w:type="spellEnd"/>
      <w:r w:rsidR="000A7EE2" w:rsidRPr="0019637D">
        <w:rPr>
          <w:rFonts w:ascii="Calibri" w:hAnsi="Calibri" w:cs="Calibri"/>
          <w:sz w:val="22"/>
          <w:szCs w:val="22"/>
        </w:rPr>
        <w:t>, ASCAP</w:t>
      </w:r>
      <w:r w:rsidR="000A7EE2" w:rsidRPr="000A7EE2">
        <w:rPr>
          <w:rFonts w:asciiTheme="minorHAnsi" w:hAnsiTheme="minorHAnsi" w:cstheme="minorHAnsi"/>
          <w:sz w:val="22"/>
          <w:szCs w:val="22"/>
        </w:rPr>
        <w:br/>
      </w:r>
      <w:r w:rsidRPr="000A7EE2">
        <w:rPr>
          <w:rFonts w:asciiTheme="minorHAnsi" w:hAnsiTheme="minorHAnsi" w:cstheme="minorHAnsi"/>
          <w:sz w:val="22"/>
          <w:szCs w:val="22"/>
        </w:rPr>
        <w:t>BMI</w:t>
      </w:r>
    </w:p>
    <w:sectPr w:rsidR="00CC75D4" w:rsidSect="00C37574">
      <w:headerReference w:type="even" r:id="rId12"/>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C3D47" w14:textId="77777777" w:rsidR="00C34D07" w:rsidRDefault="00C34D07" w:rsidP="00C37574">
      <w:r>
        <w:separator/>
      </w:r>
    </w:p>
  </w:endnote>
  <w:endnote w:type="continuationSeparator" w:id="0">
    <w:p w14:paraId="42EB9F8A" w14:textId="77777777" w:rsidR="00C34D07" w:rsidRDefault="00C34D07" w:rsidP="00C3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C88D" w14:textId="53ED102E" w:rsidR="00C37574" w:rsidRDefault="00C37574" w:rsidP="00C37574">
    <w:pPr>
      <w:pStyle w:val="Footer"/>
      <w:jc w:val="center"/>
    </w:pPr>
    <w:r>
      <w:t>-more-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3E279" w14:textId="7C748A31" w:rsidR="00C37574" w:rsidRDefault="00C37574" w:rsidP="00C37574">
    <w:pPr>
      <w:pStyle w:val="Footer"/>
      <w:jc w:val="center"/>
    </w:pPr>
    <w: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68ABA" w14:textId="77777777" w:rsidR="00C34D07" w:rsidRDefault="00C34D07" w:rsidP="00C37574">
      <w:r>
        <w:separator/>
      </w:r>
    </w:p>
  </w:footnote>
  <w:footnote w:type="continuationSeparator" w:id="0">
    <w:p w14:paraId="621DD236" w14:textId="77777777" w:rsidR="00C34D07" w:rsidRDefault="00C34D07" w:rsidP="00C3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91CAF" w14:textId="664CBB42" w:rsidR="00C37574" w:rsidRDefault="00BD4FC4" w:rsidP="00BD4FC4">
    <w:pPr>
      <w:pStyle w:val="Header"/>
    </w:pPr>
    <w: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2C73" w14:textId="39CC45AA" w:rsidR="00C37574" w:rsidRDefault="00C37574" w:rsidP="00C37574">
    <w:pPr>
      <w:pStyle w:val="Header"/>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11CCC"/>
    <w:multiLevelType w:val="multilevel"/>
    <w:tmpl w:val="F346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6B"/>
    <w:rsid w:val="000A7EE2"/>
    <w:rsid w:val="000C6D33"/>
    <w:rsid w:val="00102071"/>
    <w:rsid w:val="0019637D"/>
    <w:rsid w:val="001D51B2"/>
    <w:rsid w:val="002070F3"/>
    <w:rsid w:val="002A31AA"/>
    <w:rsid w:val="003251D6"/>
    <w:rsid w:val="00333B2D"/>
    <w:rsid w:val="003B78EB"/>
    <w:rsid w:val="003C32AF"/>
    <w:rsid w:val="003D7CB5"/>
    <w:rsid w:val="00457AC1"/>
    <w:rsid w:val="00597736"/>
    <w:rsid w:val="00607B2F"/>
    <w:rsid w:val="00694BFC"/>
    <w:rsid w:val="00765B6B"/>
    <w:rsid w:val="0085276E"/>
    <w:rsid w:val="008B0918"/>
    <w:rsid w:val="008C0B40"/>
    <w:rsid w:val="00AC6654"/>
    <w:rsid w:val="00AF70DF"/>
    <w:rsid w:val="00B00191"/>
    <w:rsid w:val="00BB6573"/>
    <w:rsid w:val="00BD4FC4"/>
    <w:rsid w:val="00C2003E"/>
    <w:rsid w:val="00C34D07"/>
    <w:rsid w:val="00C37574"/>
    <w:rsid w:val="00C95BCC"/>
    <w:rsid w:val="00CA45E7"/>
    <w:rsid w:val="00CC75D4"/>
    <w:rsid w:val="00CE0C26"/>
    <w:rsid w:val="00D9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14F0"/>
  <w15:chartTrackingRefBased/>
  <w15:docId w15:val="{9E5C2DBB-8B95-A34B-808B-2916246F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B6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D7C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7CB5"/>
    <w:rPr>
      <w:rFonts w:ascii="Times New Roman" w:hAnsi="Times New Roman" w:cs="Times New Roman"/>
      <w:sz w:val="18"/>
      <w:szCs w:val="18"/>
    </w:rPr>
  </w:style>
  <w:style w:type="paragraph" w:styleId="Header">
    <w:name w:val="header"/>
    <w:basedOn w:val="Normal"/>
    <w:link w:val="HeaderChar"/>
    <w:uiPriority w:val="99"/>
    <w:unhideWhenUsed/>
    <w:rsid w:val="00C37574"/>
    <w:pPr>
      <w:tabs>
        <w:tab w:val="center" w:pos="4680"/>
        <w:tab w:val="right" w:pos="9360"/>
      </w:tabs>
    </w:pPr>
  </w:style>
  <w:style w:type="character" w:customStyle="1" w:styleId="HeaderChar">
    <w:name w:val="Header Char"/>
    <w:basedOn w:val="DefaultParagraphFont"/>
    <w:link w:val="Header"/>
    <w:uiPriority w:val="99"/>
    <w:rsid w:val="00C37574"/>
  </w:style>
  <w:style w:type="paragraph" w:styleId="Footer">
    <w:name w:val="footer"/>
    <w:basedOn w:val="Normal"/>
    <w:link w:val="FooterChar"/>
    <w:uiPriority w:val="99"/>
    <w:unhideWhenUsed/>
    <w:rsid w:val="00C37574"/>
    <w:pPr>
      <w:tabs>
        <w:tab w:val="center" w:pos="4680"/>
        <w:tab w:val="right" w:pos="9360"/>
      </w:tabs>
    </w:pPr>
  </w:style>
  <w:style w:type="character" w:customStyle="1" w:styleId="FooterChar">
    <w:name w:val="Footer Char"/>
    <w:basedOn w:val="DefaultParagraphFont"/>
    <w:link w:val="Footer"/>
    <w:uiPriority w:val="99"/>
    <w:rsid w:val="00C3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31547">
      <w:bodyDiv w:val="1"/>
      <w:marLeft w:val="0"/>
      <w:marRight w:val="0"/>
      <w:marTop w:val="0"/>
      <w:marBottom w:val="0"/>
      <w:divBdr>
        <w:top w:val="none" w:sz="0" w:space="0" w:color="auto"/>
        <w:left w:val="none" w:sz="0" w:space="0" w:color="auto"/>
        <w:bottom w:val="none" w:sz="0" w:space="0" w:color="auto"/>
        <w:right w:val="none" w:sz="0" w:space="0" w:color="auto"/>
      </w:divBdr>
      <w:divsChild>
        <w:div w:id="1501233286">
          <w:marLeft w:val="0"/>
          <w:marRight w:val="0"/>
          <w:marTop w:val="0"/>
          <w:marBottom w:val="0"/>
          <w:divBdr>
            <w:top w:val="none" w:sz="0" w:space="0" w:color="auto"/>
            <w:left w:val="none" w:sz="0" w:space="0" w:color="auto"/>
            <w:bottom w:val="none" w:sz="0" w:space="0" w:color="auto"/>
            <w:right w:val="none" w:sz="0" w:space="0" w:color="auto"/>
          </w:divBdr>
        </w:div>
      </w:divsChild>
    </w:div>
    <w:div w:id="2141655365">
      <w:bodyDiv w:val="1"/>
      <w:marLeft w:val="0"/>
      <w:marRight w:val="0"/>
      <w:marTop w:val="0"/>
      <w:marBottom w:val="0"/>
      <w:divBdr>
        <w:top w:val="none" w:sz="0" w:space="0" w:color="auto"/>
        <w:left w:val="none" w:sz="0" w:space="0" w:color="auto"/>
        <w:bottom w:val="none" w:sz="0" w:space="0" w:color="auto"/>
        <w:right w:val="none" w:sz="0" w:space="0" w:color="auto"/>
      </w:divBdr>
      <w:divsChild>
        <w:div w:id="690644602">
          <w:marLeft w:val="0"/>
          <w:marRight w:val="0"/>
          <w:marTop w:val="0"/>
          <w:marBottom w:val="0"/>
          <w:divBdr>
            <w:top w:val="none" w:sz="0" w:space="0" w:color="auto"/>
            <w:left w:val="none" w:sz="0" w:space="0" w:color="auto"/>
            <w:bottom w:val="none" w:sz="0" w:space="0" w:color="auto"/>
            <w:right w:val="none" w:sz="0" w:space="0" w:color="auto"/>
          </w:divBdr>
          <w:divsChild>
            <w:div w:id="1077827568">
              <w:marLeft w:val="0"/>
              <w:marRight w:val="0"/>
              <w:marTop w:val="0"/>
              <w:marBottom w:val="0"/>
              <w:divBdr>
                <w:top w:val="none" w:sz="0" w:space="0" w:color="auto"/>
                <w:left w:val="none" w:sz="0" w:space="0" w:color="auto"/>
                <w:bottom w:val="none" w:sz="0" w:space="0" w:color="auto"/>
                <w:right w:val="none" w:sz="0" w:space="0" w:color="auto"/>
              </w:divBdr>
              <w:divsChild>
                <w:div w:id="13052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80109">
          <w:marLeft w:val="0"/>
          <w:marRight w:val="0"/>
          <w:marTop w:val="0"/>
          <w:marBottom w:val="0"/>
          <w:divBdr>
            <w:top w:val="none" w:sz="0" w:space="0" w:color="auto"/>
            <w:left w:val="none" w:sz="0" w:space="0" w:color="auto"/>
            <w:bottom w:val="none" w:sz="0" w:space="0" w:color="auto"/>
            <w:right w:val="none" w:sz="0" w:space="0" w:color="auto"/>
          </w:divBdr>
          <w:divsChild>
            <w:div w:id="408693805">
              <w:marLeft w:val="0"/>
              <w:marRight w:val="0"/>
              <w:marTop w:val="0"/>
              <w:marBottom w:val="0"/>
              <w:divBdr>
                <w:top w:val="none" w:sz="0" w:space="0" w:color="auto"/>
                <w:left w:val="none" w:sz="0" w:space="0" w:color="auto"/>
                <w:bottom w:val="none" w:sz="0" w:space="0" w:color="auto"/>
                <w:right w:val="none" w:sz="0" w:space="0" w:color="auto"/>
              </w:divBdr>
              <w:divsChild>
                <w:div w:id="22348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D9DD-BD31-42BE-9D9D-0103AE636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 Fischer</cp:lastModifiedBy>
  <cp:revision>2</cp:revision>
  <cp:lastPrinted>2019-02-27T21:21:00Z</cp:lastPrinted>
  <dcterms:created xsi:type="dcterms:W3CDTF">2019-02-28T15:05:00Z</dcterms:created>
  <dcterms:modified xsi:type="dcterms:W3CDTF">2019-02-28T15:05:00Z</dcterms:modified>
</cp:coreProperties>
</file>