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6F1" w:rsidRDefault="00BA6820" w:rsidP="00D70481">
      <w:pPr>
        <w:contextualSpacing/>
        <w:jc w:val="center"/>
        <w:rPr>
          <w:b/>
        </w:rPr>
      </w:pPr>
      <w:r>
        <w:rPr>
          <w:noProof/>
          <w:lang w:bidi="ar-SA"/>
        </w:rPr>
        <w:drawing>
          <wp:inline distT="0" distB="0" distL="0" distR="0">
            <wp:extent cx="868680" cy="685800"/>
            <wp:effectExtent l="19050" t="0" r="7620" b="0"/>
            <wp:docPr id="1" name="Picture 1" descr="BM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I Logo"/>
                    <pic:cNvPicPr>
                      <a:picLocks noChangeAspect="1" noChangeArrowheads="1"/>
                    </pic:cNvPicPr>
                  </pic:nvPicPr>
                  <pic:blipFill>
                    <a:blip r:embed="rId5"/>
                    <a:srcRect/>
                    <a:stretch>
                      <a:fillRect/>
                    </a:stretch>
                  </pic:blipFill>
                  <pic:spPr bwMode="auto">
                    <a:xfrm>
                      <a:off x="0" y="0"/>
                      <a:ext cx="868680" cy="685800"/>
                    </a:xfrm>
                    <a:prstGeom prst="rect">
                      <a:avLst/>
                    </a:prstGeom>
                    <a:noFill/>
                    <a:ln w="9525">
                      <a:noFill/>
                      <a:miter lim="800000"/>
                      <a:headEnd/>
                      <a:tailEnd/>
                    </a:ln>
                  </pic:spPr>
                </pic:pic>
              </a:graphicData>
            </a:graphic>
          </wp:inline>
        </w:drawing>
      </w:r>
      <w:r>
        <w:rPr>
          <w:noProof/>
          <w:lang w:bidi="ar-SA"/>
        </w:rPr>
        <w:t xml:space="preserve">   </w:t>
      </w:r>
      <w:r>
        <w:rPr>
          <w:noProof/>
          <w:lang w:bidi="ar-SA"/>
        </w:rPr>
        <w:drawing>
          <wp:inline distT="0" distB="0" distL="0" distR="0">
            <wp:extent cx="2118360" cy="723900"/>
            <wp:effectExtent l="0" t="0" r="0" b="0"/>
            <wp:docPr id="2" name="Picture 0" descr="rml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mlc.gif"/>
                    <pic:cNvPicPr>
                      <a:picLocks noChangeAspect="1" noChangeArrowheads="1"/>
                    </pic:cNvPicPr>
                  </pic:nvPicPr>
                  <pic:blipFill>
                    <a:blip r:embed="rId6"/>
                    <a:srcRect/>
                    <a:stretch>
                      <a:fillRect/>
                    </a:stretch>
                  </pic:blipFill>
                  <pic:spPr bwMode="auto">
                    <a:xfrm>
                      <a:off x="0" y="0"/>
                      <a:ext cx="2118360" cy="723900"/>
                    </a:xfrm>
                    <a:prstGeom prst="rect">
                      <a:avLst/>
                    </a:prstGeom>
                    <a:noFill/>
                    <a:ln w="9525">
                      <a:noFill/>
                      <a:miter lim="800000"/>
                      <a:headEnd/>
                      <a:tailEnd/>
                    </a:ln>
                  </pic:spPr>
                </pic:pic>
              </a:graphicData>
            </a:graphic>
          </wp:inline>
        </w:drawing>
      </w:r>
    </w:p>
    <w:p w:rsidR="00D70481" w:rsidRDefault="00D70481" w:rsidP="00D70481">
      <w:pPr>
        <w:contextualSpacing/>
        <w:jc w:val="center"/>
        <w:rPr>
          <w:b/>
          <w:sz w:val="32"/>
          <w:szCs w:val="32"/>
        </w:rPr>
      </w:pPr>
    </w:p>
    <w:p w:rsidR="00D70481" w:rsidRPr="007D007A" w:rsidRDefault="00D70481" w:rsidP="00D70481">
      <w:pPr>
        <w:contextualSpacing/>
        <w:jc w:val="center"/>
        <w:rPr>
          <w:rFonts w:ascii="Century Schoolbook" w:hAnsi="Century Schoolbook"/>
          <w:b/>
          <w:sz w:val="28"/>
          <w:szCs w:val="32"/>
          <w:u w:val="single"/>
        </w:rPr>
      </w:pPr>
      <w:r w:rsidRPr="007D007A">
        <w:rPr>
          <w:rFonts w:ascii="Century Schoolbook" w:hAnsi="Century Schoolbook"/>
          <w:b/>
          <w:sz w:val="28"/>
          <w:szCs w:val="32"/>
          <w:u w:val="single"/>
        </w:rPr>
        <w:t xml:space="preserve">BMI AND RADIO INDUSTRY ANNOUNCE SETTLEMENT </w:t>
      </w:r>
    </w:p>
    <w:p w:rsidR="00D70481" w:rsidRPr="007D007A" w:rsidRDefault="00D70481" w:rsidP="00D70481">
      <w:pPr>
        <w:contextualSpacing/>
        <w:rPr>
          <w:rFonts w:ascii="Century Schoolbook" w:hAnsi="Century Schoolbook"/>
          <w:b/>
        </w:rPr>
      </w:pPr>
    </w:p>
    <w:p w:rsidR="00D70481" w:rsidRPr="007D007A" w:rsidRDefault="00D70481" w:rsidP="00D70481">
      <w:pPr>
        <w:contextualSpacing/>
        <w:jc w:val="both"/>
        <w:rPr>
          <w:rFonts w:ascii="Century Schoolbook" w:hAnsi="Century Schoolbook" w:cs="Calibri"/>
        </w:rPr>
      </w:pPr>
      <w:r w:rsidRPr="007D007A">
        <w:rPr>
          <w:rFonts w:ascii="Century Schoolbook" w:hAnsi="Century Schoolbook" w:cs="Calibri"/>
        </w:rPr>
        <w:t xml:space="preserve">NEW YORK, NY, June 11, 2012 – BMI and the Radio Music License Committee (“RMLC”) have announced that they have solidified terms of a settlement agreement concerning the fees payable by the U.S. commercial radio industry to publicly perform the more than 7.5 million musical works in the BMI repertoire through 2016.  The RMLC represents the vast majority of the nation’s radio stations.  The settlement, which will require Federal Court approval, would bring an end to the two-and-a-half years of litigation between the parties. </w:t>
      </w:r>
    </w:p>
    <w:p w:rsidR="00D70481" w:rsidRPr="007D007A" w:rsidRDefault="00D70481" w:rsidP="00D70481">
      <w:pPr>
        <w:contextualSpacing/>
        <w:jc w:val="both"/>
        <w:rPr>
          <w:rFonts w:ascii="Century Schoolbook" w:hAnsi="Century Schoolbook" w:cs="Calibri"/>
        </w:rPr>
      </w:pPr>
    </w:p>
    <w:p w:rsidR="00D70481" w:rsidRPr="007D007A" w:rsidRDefault="00D70481" w:rsidP="00D70481">
      <w:pPr>
        <w:contextualSpacing/>
        <w:jc w:val="both"/>
        <w:rPr>
          <w:rFonts w:ascii="Century Schoolbook" w:hAnsi="Century Schoolbook"/>
        </w:rPr>
      </w:pPr>
      <w:r w:rsidRPr="007D007A">
        <w:rPr>
          <w:rFonts w:ascii="Century Schoolbook" w:hAnsi="Century Schoolbook"/>
        </w:rPr>
        <w:t xml:space="preserve">The new BMI license covers the period January 1, 2010 through December 31, 2016.  In broad terms, it features a return to a percentage-of-revenue fee structure and addresses the range of new media platforms in which the radio industry is increasingly engaged.  More specifically, the new license entails: </w:t>
      </w:r>
    </w:p>
    <w:p w:rsidR="00D70481" w:rsidRPr="007D007A" w:rsidRDefault="00D70481" w:rsidP="00D70481">
      <w:pPr>
        <w:pStyle w:val="ColorfulList-Accent11"/>
        <w:numPr>
          <w:ilvl w:val="0"/>
          <w:numId w:val="1"/>
        </w:numPr>
        <w:jc w:val="both"/>
        <w:rPr>
          <w:rFonts w:ascii="Century Schoolbook" w:hAnsi="Century Schoolbook"/>
        </w:rPr>
      </w:pPr>
      <w:r w:rsidRPr="007D007A">
        <w:rPr>
          <w:rFonts w:ascii="Century Schoolbook" w:hAnsi="Century Schoolbook"/>
        </w:rPr>
        <w:t>A $70.5 million industry fee credit against 2010-2011 industry payments;</w:t>
      </w:r>
    </w:p>
    <w:p w:rsidR="00D70481" w:rsidRPr="007D007A" w:rsidRDefault="00D70481" w:rsidP="00D70481">
      <w:pPr>
        <w:pStyle w:val="ColorfulList-Accent11"/>
        <w:numPr>
          <w:ilvl w:val="0"/>
          <w:numId w:val="1"/>
        </w:numPr>
        <w:jc w:val="both"/>
        <w:rPr>
          <w:rFonts w:ascii="Century Schoolbook" w:hAnsi="Century Schoolbook"/>
        </w:rPr>
      </w:pPr>
      <w:r w:rsidRPr="007D007A">
        <w:rPr>
          <w:rFonts w:ascii="Century Schoolbook" w:hAnsi="Century Schoolbook"/>
        </w:rPr>
        <w:t>A 1.7%-of-gross-revenue fee structure (with simplified revenue reporting) for stations on the blanket music format license, less a standard deduction of 12% for revenue derived from terrestrial/analog and HD multicasting broadcasts and a 25% deduction for revenue attributable to new media uses;</w:t>
      </w:r>
    </w:p>
    <w:p w:rsidR="00D70481" w:rsidRPr="007D007A" w:rsidRDefault="00D70481" w:rsidP="00D70481">
      <w:pPr>
        <w:pStyle w:val="ColorfulList-Accent11"/>
        <w:numPr>
          <w:ilvl w:val="0"/>
          <w:numId w:val="1"/>
        </w:numPr>
        <w:jc w:val="both"/>
        <w:rPr>
          <w:rFonts w:ascii="Century Schoolbook" w:hAnsi="Century Schoolbook"/>
        </w:rPr>
      </w:pPr>
      <w:r w:rsidRPr="007D007A">
        <w:rPr>
          <w:rFonts w:ascii="Century Schoolbook" w:hAnsi="Century Schoolbook"/>
        </w:rPr>
        <w:t xml:space="preserve">Retention of the program-period license that benefits many talk-format stations, with a base fee of 0.2958% of gross revenue, less the same deductions noted above; and </w:t>
      </w:r>
    </w:p>
    <w:p w:rsidR="00D70481" w:rsidRPr="007D007A" w:rsidRDefault="00D70481" w:rsidP="00D70481">
      <w:pPr>
        <w:pStyle w:val="ColorfulList-Accent11"/>
        <w:numPr>
          <w:ilvl w:val="0"/>
          <w:numId w:val="1"/>
        </w:numPr>
        <w:jc w:val="both"/>
        <w:rPr>
          <w:rFonts w:ascii="Century Schoolbook" w:hAnsi="Century Schoolbook"/>
        </w:rPr>
      </w:pPr>
      <w:r w:rsidRPr="007D007A">
        <w:rPr>
          <w:rFonts w:ascii="Century Schoolbook" w:hAnsi="Century Schoolbook"/>
        </w:rPr>
        <w:t>Expanded rights coverage to accommodate the industry’s developing new media platforms related to Internet websites, smart phones and other wireless devices.</w:t>
      </w:r>
    </w:p>
    <w:p w:rsidR="00D70481" w:rsidRPr="007D007A" w:rsidRDefault="00D70481" w:rsidP="00D70481">
      <w:pPr>
        <w:jc w:val="both"/>
        <w:rPr>
          <w:rFonts w:ascii="Century Schoolbook" w:hAnsi="Century Schoolbook"/>
        </w:rPr>
      </w:pPr>
      <w:r w:rsidRPr="007D007A">
        <w:rPr>
          <w:rFonts w:ascii="Century Schoolbook" w:hAnsi="Century Schoolbook"/>
        </w:rPr>
        <w:t>The impact of this settlement will be reflected immediately with BMI’s June 2012 billing statements.  The practical effect of the $70.5 million credit adjustment is that many stations will have a BMI credit balance available for the remainder of this year.  The new BMI license forms will be made available to stations following Federal Court approval of the settlement.</w:t>
      </w:r>
    </w:p>
    <w:p w:rsidR="00D70481" w:rsidRPr="007D007A" w:rsidRDefault="00D70481" w:rsidP="00D70481">
      <w:pPr>
        <w:jc w:val="both"/>
        <w:rPr>
          <w:rFonts w:ascii="Century Schoolbook" w:hAnsi="Century Schoolbook"/>
        </w:rPr>
      </w:pPr>
      <w:r w:rsidRPr="007D007A">
        <w:rPr>
          <w:rFonts w:ascii="Century Schoolbook" w:hAnsi="Century Schoolbook"/>
        </w:rPr>
        <w:t xml:space="preserve">In announcing the agreement, BMI Senior Vice President, Licensing Michael Steinberg said,  “BMI is so proud to represent the world’s best songwriters, composers and music publishers and their incredible contributions to the success of American radio.  This agreement allows us to move forward without the cost and uncertain outcome of further litigation.  While fees will be lower than the prior final </w:t>
      </w:r>
      <w:r w:rsidRPr="007D007A">
        <w:rPr>
          <w:rFonts w:ascii="Century Schoolbook" w:hAnsi="Century Schoolbook"/>
        </w:rPr>
        <w:lastRenderedPageBreak/>
        <w:t>agreement, the return to a percentage-of-revenue license will allow us to grow BMI revenues as the radio industry rebounds.”</w:t>
      </w:r>
    </w:p>
    <w:p w:rsidR="00D70481" w:rsidRPr="007D007A" w:rsidRDefault="00D70481" w:rsidP="00D70481">
      <w:pPr>
        <w:jc w:val="both"/>
        <w:rPr>
          <w:rStyle w:val="Strong"/>
          <w:rFonts w:ascii="Century Schoolbook" w:eastAsia="Times New Roman" w:hAnsi="Century Schoolbook" w:cs="Calibri"/>
          <w:b w:val="0"/>
        </w:rPr>
      </w:pPr>
      <w:r w:rsidRPr="007D007A">
        <w:rPr>
          <w:rStyle w:val="Strong"/>
          <w:rFonts w:ascii="Century Schoolbook" w:eastAsia="Times New Roman" w:hAnsi="Century Schoolbook" w:cs="Calibri"/>
          <w:b w:val="0"/>
        </w:rPr>
        <w:t>Ed Christian, Chairman of the Radio Music License Committee, said, "It is a vote of confidence towards our industry that BMI has agreed to return to the historic percentage-of-revenue fee structure.  Once the agreement with BMI is approved by the Court, radio broadcasters will continue to nurture their longstanding relationships with</w:t>
      </w:r>
      <w:r w:rsidRPr="007D007A">
        <w:rPr>
          <w:rStyle w:val="Strong"/>
          <w:rFonts w:ascii="Century Schoolbook" w:eastAsia="Times New Roman" w:hAnsi="Century Schoolbook" w:cs="Calibri"/>
        </w:rPr>
        <w:t xml:space="preserve"> </w:t>
      </w:r>
      <w:r w:rsidRPr="007D007A">
        <w:rPr>
          <w:rStyle w:val="Strong"/>
          <w:rFonts w:ascii="Century Schoolbook" w:eastAsia="Times New Roman" w:hAnsi="Century Schoolbook" w:cs="Calibri"/>
          <w:b w:val="0"/>
        </w:rPr>
        <w:t>the performing rights organizations.  We will work together to solve mutual problems in an ever-changing environment of both radio and intellectual property rights as it relates to authors, composers and publishers." </w:t>
      </w:r>
    </w:p>
    <w:p w:rsidR="00D70481" w:rsidRPr="00092171" w:rsidRDefault="00D70481" w:rsidP="00D70481">
      <w:pPr>
        <w:rPr>
          <w:rFonts w:ascii="Century Schoolbook" w:hAnsi="Century Schoolbook" w:cs="Calibri"/>
          <w:u w:val="single"/>
        </w:rPr>
      </w:pPr>
      <w:r>
        <w:rPr>
          <w:rFonts w:ascii="Century Schoolbook" w:eastAsia="Times New Roman" w:hAnsi="Century Schoolbook" w:cs="Calibri"/>
        </w:rPr>
        <w:br/>
      </w:r>
      <w:r w:rsidRPr="00092171">
        <w:rPr>
          <w:rFonts w:ascii="Century Schoolbook" w:hAnsi="Century Schoolbook" w:cs="Calibri"/>
          <w:u w:val="single"/>
        </w:rPr>
        <w:t>CONTACT:</w:t>
      </w:r>
    </w:p>
    <w:p w:rsidR="00D70481" w:rsidRPr="007D007A" w:rsidRDefault="00D70481" w:rsidP="00D70481">
      <w:pPr>
        <w:spacing w:before="0"/>
        <w:rPr>
          <w:rFonts w:ascii="Century Schoolbook" w:hAnsi="Century Schoolbook"/>
        </w:rPr>
      </w:pPr>
      <w:r w:rsidRPr="007D007A">
        <w:rPr>
          <w:rFonts w:ascii="Century Schoolbook" w:hAnsi="Century Schoolbook"/>
        </w:rPr>
        <w:t>Ari Surdoval / 615.401.2880 / asurdoval@bmi.com</w:t>
      </w:r>
      <w:r w:rsidRPr="007D007A">
        <w:rPr>
          <w:rFonts w:ascii="Century Schoolbook" w:hAnsi="Century Schoolbook"/>
        </w:rPr>
        <w:br/>
        <w:t>Kay Clary / 615.401.2728 / kclary@bmi.com</w:t>
      </w:r>
    </w:p>
    <w:sectPr w:rsidR="00D70481" w:rsidRPr="007D007A" w:rsidSect="00D704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B4F35"/>
    <w:multiLevelType w:val="hybridMultilevel"/>
    <w:tmpl w:val="0730108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Wingdings"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Wingdings"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Wingdings" w:hint="default"/>
      </w:rPr>
    </w:lvl>
    <w:lvl w:ilvl="8" w:tplc="04090005" w:tentative="1">
      <w:start w:val="1"/>
      <w:numFmt w:val="bullet"/>
      <w:lvlText w:val=""/>
      <w:lvlJc w:val="left"/>
      <w:pPr>
        <w:ind w:left="652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stylePaneSortMethod w:val="0000"/>
  <w:defaultTabStop w:val="720"/>
  <w:characterSpacingControl w:val="doNotCompress"/>
  <w:compat/>
  <w:rsids>
    <w:rsidRoot w:val="00E066F1"/>
    <w:rsid w:val="00B12F5D"/>
    <w:rsid w:val="00BA6820"/>
    <w:rsid w:val="00D70481"/>
    <w:rsid w:val="00E066F1"/>
    <w:rsid w:val="00FE2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066F1"/>
    <w:pPr>
      <w:spacing w:before="240"/>
    </w:pPr>
    <w:rPr>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066F1"/>
    <w:pPr>
      <w:ind w:left="720"/>
      <w:contextualSpacing/>
    </w:pPr>
  </w:style>
  <w:style w:type="paragraph" w:styleId="BalloonText">
    <w:name w:val="Balloon Text"/>
    <w:basedOn w:val="Normal"/>
    <w:link w:val="BalloonTextChar"/>
    <w:uiPriority w:val="99"/>
    <w:semiHidden/>
    <w:unhideWhenUsed/>
    <w:rsid w:val="00E066F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6F1"/>
    <w:rPr>
      <w:rFonts w:ascii="Tahoma" w:eastAsia="Calibri" w:hAnsi="Tahoma" w:cs="Tahoma"/>
      <w:sz w:val="16"/>
      <w:szCs w:val="16"/>
      <w:lang w:bidi="en-US"/>
    </w:rPr>
  </w:style>
  <w:style w:type="character" w:styleId="Strong">
    <w:name w:val="Strong"/>
    <w:basedOn w:val="DefaultParagraphFont"/>
    <w:uiPriority w:val="22"/>
    <w:qFormat/>
    <w:rsid w:val="00E9465B"/>
    <w:rPr>
      <w:b/>
      <w:bCs/>
    </w:rPr>
  </w:style>
</w:styles>
</file>

<file path=word/webSettings.xml><?xml version="1.0" encoding="utf-8"?>
<w:webSettings xmlns:r="http://schemas.openxmlformats.org/officeDocument/2006/relationships" xmlns:w="http://schemas.openxmlformats.org/wordprocessingml/2006/main">
  <w:divs>
    <w:div w:id="7050612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3130</CharactersWithSpaces>
  <SharedDoc>false</SharedDoc>
  <HLinks>
    <vt:vector size="6" baseType="variant">
      <vt:variant>
        <vt:i4>5046272</vt:i4>
      </vt:variant>
      <vt:variant>
        <vt:i4>2048</vt:i4>
      </vt:variant>
      <vt:variant>
        <vt:i4>1025</vt:i4>
      </vt:variant>
      <vt:variant>
        <vt:i4>1</vt:i4>
      </vt:variant>
      <vt:variant>
        <vt:lpwstr>BMI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Velez</dc:creator>
  <cp:lastModifiedBy>dmaynard</cp:lastModifiedBy>
  <cp:revision>2</cp:revision>
  <cp:lastPrinted>2012-06-09T21:03:00Z</cp:lastPrinted>
  <dcterms:created xsi:type="dcterms:W3CDTF">2012-06-11T19:32:00Z</dcterms:created>
  <dcterms:modified xsi:type="dcterms:W3CDTF">2012-06-11T19:32:00Z</dcterms:modified>
</cp:coreProperties>
</file>