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C269" w14:textId="046DDEC6" w:rsidR="00743BB9" w:rsidRPr="00883DEA" w:rsidRDefault="00883DEA">
      <w:pPr>
        <w:rPr>
          <w:sz w:val="32"/>
          <w:szCs w:val="32"/>
        </w:rPr>
      </w:pPr>
      <w:r>
        <w:rPr>
          <w:noProof/>
          <w:sz w:val="32"/>
          <w:szCs w:val="32"/>
        </w:rPr>
        <w:drawing>
          <wp:anchor distT="0" distB="0" distL="114300" distR="114300" simplePos="0" relativeHeight="251658240" behindDoc="0" locked="0" layoutInCell="1" allowOverlap="1" wp14:anchorId="3EFA0418" wp14:editId="5D335B7D">
            <wp:simplePos x="0" y="0"/>
            <wp:positionH relativeFrom="column">
              <wp:posOffset>-977900</wp:posOffset>
            </wp:positionH>
            <wp:positionV relativeFrom="page">
              <wp:posOffset>2540</wp:posOffset>
            </wp:positionV>
            <wp:extent cx="7805420" cy="183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EMMA.jpg"/>
                    <pic:cNvPicPr/>
                  </pic:nvPicPr>
                  <pic:blipFill>
                    <a:blip r:embed="rId4">
                      <a:extLst>
                        <a:ext uri="{28A0092B-C50C-407E-A947-70E740481C1C}">
                          <a14:useLocalDpi xmlns:a14="http://schemas.microsoft.com/office/drawing/2010/main" val="0"/>
                        </a:ext>
                      </a:extLst>
                    </a:blip>
                    <a:stretch>
                      <a:fillRect/>
                    </a:stretch>
                  </pic:blipFill>
                  <pic:spPr>
                    <a:xfrm>
                      <a:off x="0" y="0"/>
                      <a:ext cx="7805420" cy="1831340"/>
                    </a:xfrm>
                    <a:prstGeom prst="rect">
                      <a:avLst/>
                    </a:prstGeom>
                  </pic:spPr>
                </pic:pic>
              </a:graphicData>
            </a:graphic>
            <wp14:sizeRelH relativeFrom="page">
              <wp14:pctWidth>0</wp14:pctWidth>
            </wp14:sizeRelH>
            <wp14:sizeRelV relativeFrom="page">
              <wp14:pctHeight>0</wp14:pctHeight>
            </wp14:sizeRelV>
          </wp:anchor>
        </w:drawing>
      </w:r>
    </w:p>
    <w:p w14:paraId="2B9389E3" w14:textId="1649BD21" w:rsidR="00D53886" w:rsidRPr="00883DEA" w:rsidRDefault="00D53886" w:rsidP="00883DEA">
      <w:pPr>
        <w:jc w:val="center"/>
        <w:rPr>
          <w:b/>
          <w:sz w:val="32"/>
          <w:szCs w:val="32"/>
        </w:rPr>
      </w:pPr>
      <w:r w:rsidRPr="00883DEA">
        <w:rPr>
          <w:b/>
          <w:sz w:val="32"/>
          <w:szCs w:val="32"/>
        </w:rPr>
        <w:t>BMI PREVAILS OVER DOJ IN CONSENT DECREE DISPUTE</w:t>
      </w:r>
      <w:bookmarkStart w:id="0" w:name="_GoBack"/>
      <w:bookmarkEnd w:id="0"/>
    </w:p>
    <w:p w14:paraId="561D8508" w14:textId="19E69DA0" w:rsidR="00261F11" w:rsidRDefault="00D53886" w:rsidP="00711CC6">
      <w:pPr>
        <w:rPr>
          <w:sz w:val="24"/>
          <w:szCs w:val="24"/>
        </w:rPr>
      </w:pPr>
      <w:r>
        <w:rPr>
          <w:sz w:val="24"/>
          <w:szCs w:val="24"/>
        </w:rPr>
        <w:t xml:space="preserve">NEW YORK – September 16, 2016 -- </w:t>
      </w:r>
      <w:r w:rsidR="00711CC6">
        <w:rPr>
          <w:sz w:val="24"/>
          <w:szCs w:val="24"/>
        </w:rPr>
        <w:t xml:space="preserve">Today, </w:t>
      </w:r>
      <w:r w:rsidR="009442F9">
        <w:rPr>
          <w:sz w:val="24"/>
          <w:szCs w:val="24"/>
        </w:rPr>
        <w:t>federal Judge Louis Stanton</w:t>
      </w:r>
      <w:r w:rsidR="00711CC6">
        <w:rPr>
          <w:sz w:val="24"/>
          <w:szCs w:val="24"/>
        </w:rPr>
        <w:t xml:space="preserve"> issued an order rejecting the US</w:t>
      </w:r>
      <w:r w:rsidR="009442F9">
        <w:rPr>
          <w:sz w:val="24"/>
          <w:szCs w:val="24"/>
        </w:rPr>
        <w:t xml:space="preserve"> Department of Justice’s (DOJ)</w:t>
      </w:r>
      <w:r w:rsidR="00711CC6">
        <w:rPr>
          <w:sz w:val="24"/>
          <w:szCs w:val="24"/>
        </w:rPr>
        <w:t xml:space="preserve"> recent i</w:t>
      </w:r>
      <w:r w:rsidR="009442F9">
        <w:rPr>
          <w:sz w:val="24"/>
          <w:szCs w:val="24"/>
        </w:rPr>
        <w:t>nterpretation of the BMI consent</w:t>
      </w:r>
      <w:r w:rsidR="00711CC6">
        <w:rPr>
          <w:sz w:val="24"/>
          <w:szCs w:val="24"/>
        </w:rPr>
        <w:t xml:space="preserve"> decree, and conc</w:t>
      </w:r>
      <w:r w:rsidR="009442F9">
        <w:rPr>
          <w:sz w:val="24"/>
          <w:szCs w:val="24"/>
        </w:rPr>
        <w:t>luded that BMI is free to engage</w:t>
      </w:r>
      <w:r w:rsidR="00711CC6">
        <w:rPr>
          <w:sz w:val="24"/>
          <w:szCs w:val="24"/>
        </w:rPr>
        <w:t xml:space="preserve"> in</w:t>
      </w:r>
      <w:r w:rsidR="009442F9">
        <w:rPr>
          <w:sz w:val="24"/>
          <w:szCs w:val="24"/>
        </w:rPr>
        <w:t xml:space="preserve"> the</w:t>
      </w:r>
      <w:r w:rsidR="00711CC6">
        <w:rPr>
          <w:sz w:val="24"/>
          <w:szCs w:val="24"/>
        </w:rPr>
        <w:t xml:space="preserve"> fractional licensing of musical works.  This decision imm</w:t>
      </w:r>
      <w:r w:rsidR="009442F9">
        <w:rPr>
          <w:sz w:val="24"/>
          <w:szCs w:val="24"/>
        </w:rPr>
        <w:t>ediately followed oral arguments</w:t>
      </w:r>
      <w:r w:rsidR="00711CC6">
        <w:rPr>
          <w:sz w:val="24"/>
          <w:szCs w:val="24"/>
        </w:rPr>
        <w:t xml:space="preserve"> heard today from both parties.  </w:t>
      </w:r>
      <w:r w:rsidR="00697080">
        <w:rPr>
          <w:sz w:val="24"/>
          <w:szCs w:val="24"/>
        </w:rPr>
        <w:t>Judge</w:t>
      </w:r>
      <w:r w:rsidR="00711CC6" w:rsidRPr="00813C23">
        <w:rPr>
          <w:sz w:val="24"/>
          <w:szCs w:val="24"/>
        </w:rPr>
        <w:t xml:space="preserve"> Stanton’s ruling is now the </w:t>
      </w:r>
      <w:r w:rsidR="00711CC6">
        <w:rPr>
          <w:sz w:val="24"/>
          <w:szCs w:val="24"/>
        </w:rPr>
        <w:t>controlling</w:t>
      </w:r>
      <w:r w:rsidR="00711CC6" w:rsidRPr="00813C23">
        <w:rPr>
          <w:sz w:val="24"/>
          <w:szCs w:val="24"/>
        </w:rPr>
        <w:t xml:space="preserve"> interpretation </w:t>
      </w:r>
      <w:r w:rsidR="00711CC6">
        <w:rPr>
          <w:sz w:val="24"/>
          <w:szCs w:val="24"/>
        </w:rPr>
        <w:t>of the BMI consent decree</w:t>
      </w:r>
      <w:r w:rsidR="009442F9">
        <w:rPr>
          <w:sz w:val="24"/>
          <w:szCs w:val="24"/>
        </w:rPr>
        <w:t xml:space="preserve">, </w:t>
      </w:r>
      <w:r w:rsidR="00711CC6">
        <w:rPr>
          <w:sz w:val="24"/>
          <w:szCs w:val="24"/>
        </w:rPr>
        <w:t>and a c</w:t>
      </w:r>
      <w:r w:rsidR="00711CC6" w:rsidRPr="00813C23">
        <w:rPr>
          <w:sz w:val="24"/>
          <w:szCs w:val="24"/>
        </w:rPr>
        <w:t>opy can be fou</w:t>
      </w:r>
      <w:r w:rsidR="00FA3875">
        <w:rPr>
          <w:sz w:val="24"/>
          <w:szCs w:val="24"/>
        </w:rPr>
        <w:t xml:space="preserve">nd </w:t>
      </w:r>
      <w:hyperlink r:id="rId5" w:history="1">
        <w:r w:rsidR="00FA3875" w:rsidRPr="00FA3875">
          <w:rPr>
            <w:rStyle w:val="Hyperlink"/>
            <w:sz w:val="24"/>
            <w:szCs w:val="24"/>
          </w:rPr>
          <w:t>HERE</w:t>
        </w:r>
      </w:hyperlink>
      <w:r w:rsidR="00261F11">
        <w:rPr>
          <w:sz w:val="24"/>
          <w:szCs w:val="24"/>
        </w:rPr>
        <w:t>.</w:t>
      </w:r>
    </w:p>
    <w:p w14:paraId="45856D41" w14:textId="77777777" w:rsidR="00711CC6" w:rsidRPr="00813C23" w:rsidRDefault="00711CC6" w:rsidP="00711CC6">
      <w:pPr>
        <w:rPr>
          <w:sz w:val="24"/>
          <w:szCs w:val="24"/>
        </w:rPr>
      </w:pPr>
      <w:r w:rsidRPr="00813C23">
        <w:rPr>
          <w:sz w:val="24"/>
          <w:szCs w:val="24"/>
        </w:rPr>
        <w:t xml:space="preserve">Below is a statement from </w:t>
      </w:r>
      <w:r w:rsidR="00D53886">
        <w:rPr>
          <w:sz w:val="24"/>
          <w:szCs w:val="24"/>
        </w:rPr>
        <w:t xml:space="preserve">BMI President &amp; CEO </w:t>
      </w:r>
      <w:r w:rsidRPr="00813C23">
        <w:rPr>
          <w:sz w:val="24"/>
          <w:szCs w:val="24"/>
        </w:rPr>
        <w:t>Mike O’</w:t>
      </w:r>
      <w:r w:rsidR="00D53886">
        <w:rPr>
          <w:sz w:val="24"/>
          <w:szCs w:val="24"/>
        </w:rPr>
        <w:t xml:space="preserve">Neill </w:t>
      </w:r>
      <w:r w:rsidR="009442F9">
        <w:rPr>
          <w:sz w:val="24"/>
          <w:szCs w:val="24"/>
        </w:rPr>
        <w:t>on today</w:t>
      </w:r>
      <w:r w:rsidRPr="00813C23">
        <w:rPr>
          <w:sz w:val="24"/>
          <w:szCs w:val="24"/>
        </w:rPr>
        <w:t>’</w:t>
      </w:r>
      <w:r w:rsidR="009442F9">
        <w:rPr>
          <w:sz w:val="24"/>
          <w:szCs w:val="24"/>
        </w:rPr>
        <w:t>s</w:t>
      </w:r>
      <w:r w:rsidRPr="00813C23">
        <w:rPr>
          <w:sz w:val="24"/>
          <w:szCs w:val="24"/>
        </w:rPr>
        <w:t xml:space="preserve"> decision:</w:t>
      </w:r>
    </w:p>
    <w:p w14:paraId="2ABD3F4A" w14:textId="77777777" w:rsidR="00711CC6" w:rsidRDefault="009442F9" w:rsidP="00711CC6">
      <w:pPr>
        <w:rPr>
          <w:sz w:val="24"/>
          <w:szCs w:val="24"/>
        </w:rPr>
      </w:pPr>
      <w:r>
        <w:rPr>
          <w:sz w:val="24"/>
          <w:szCs w:val="24"/>
        </w:rPr>
        <w:t>“</w:t>
      </w:r>
      <w:r w:rsidR="00711CC6" w:rsidRPr="00813C23">
        <w:rPr>
          <w:sz w:val="24"/>
          <w:szCs w:val="24"/>
        </w:rPr>
        <w:t>As we have said from the very beginning, we believed</w:t>
      </w:r>
      <w:r>
        <w:rPr>
          <w:sz w:val="24"/>
          <w:szCs w:val="24"/>
        </w:rPr>
        <w:t xml:space="preserve"> our consent d</w:t>
      </w:r>
      <w:r w:rsidR="00711CC6" w:rsidRPr="00813C23">
        <w:rPr>
          <w:sz w:val="24"/>
          <w:szCs w:val="24"/>
        </w:rPr>
        <w:t xml:space="preserve">ecree allowed for the </w:t>
      </w:r>
      <w:r>
        <w:rPr>
          <w:sz w:val="24"/>
          <w:szCs w:val="24"/>
        </w:rPr>
        <w:t>decades-</w:t>
      </w:r>
      <w:r w:rsidR="00711CC6" w:rsidRPr="00813C23">
        <w:rPr>
          <w:sz w:val="24"/>
          <w:szCs w:val="24"/>
        </w:rPr>
        <w:t>long p</w:t>
      </w:r>
      <w:r>
        <w:rPr>
          <w:sz w:val="24"/>
          <w:szCs w:val="24"/>
        </w:rPr>
        <w:t>ractice of fractional l</w:t>
      </w:r>
      <w:r w:rsidR="00711CC6" w:rsidRPr="00813C23">
        <w:rPr>
          <w:sz w:val="24"/>
          <w:szCs w:val="24"/>
        </w:rPr>
        <w:t>icensing and today we are gratified that Judge Stanton confirmed that belief.  Our mission has always been to protect the interests of our songwriters, com</w:t>
      </w:r>
      <w:r w:rsidR="00711CC6">
        <w:rPr>
          <w:sz w:val="24"/>
          <w:szCs w:val="24"/>
        </w:rPr>
        <w:t>posers and publishers, and</w:t>
      </w:r>
      <w:r w:rsidR="00711CC6" w:rsidRPr="00813C23">
        <w:rPr>
          <w:sz w:val="24"/>
          <w:szCs w:val="24"/>
        </w:rPr>
        <w:t xml:space="preserve"> we feel we have done just that.  Today’s decision is a victory f</w:t>
      </w:r>
      <w:r>
        <w:rPr>
          <w:sz w:val="24"/>
          <w:szCs w:val="24"/>
        </w:rPr>
        <w:t>or the entire music community.”</w:t>
      </w:r>
    </w:p>
    <w:p w14:paraId="407537DB" w14:textId="5859E4EB" w:rsidR="00FD22DF" w:rsidRDefault="00FD22DF" w:rsidP="00FD22DF">
      <w:pPr>
        <w:widowControl w:val="0"/>
        <w:autoSpaceDE w:val="0"/>
        <w:autoSpaceDN w:val="0"/>
        <w:adjustRightInd w:val="0"/>
        <w:jc w:val="both"/>
        <w:rPr>
          <w:rFonts w:ascii="Calibri" w:hAnsi="Calibri" w:cs="Calibri"/>
        </w:rPr>
      </w:pPr>
      <w:r>
        <w:rPr>
          <w:rFonts w:ascii="Calibri" w:hAnsi="Calibri" w:cs="Calibri"/>
          <w:b/>
          <w:bCs/>
        </w:rPr>
        <w:br/>
        <w:t>ABOUT BMI:</w:t>
      </w:r>
    </w:p>
    <w:p w14:paraId="35E32C72" w14:textId="44ECA485" w:rsidR="00FD22DF" w:rsidRPr="00883DEA" w:rsidRDefault="00FD22DF" w:rsidP="00711CC6">
      <w:r>
        <w:rPr>
          <w:rFonts w:ascii="Calibri" w:hAnsi="Calibri" w:cs="Calibri"/>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history="1">
        <w:r>
          <w:rPr>
            <w:rFonts w:ascii="Calibri" w:hAnsi="Calibri" w:cs="Calibri"/>
            <w:color w:val="0B4CB4"/>
            <w:u w:val="single" w:color="0B4CB4"/>
          </w:rPr>
          <w:t>www.bmi.com</w:t>
        </w:r>
      </w:hyperlink>
      <w:r>
        <w:rPr>
          <w:rFonts w:ascii="Calibri" w:hAnsi="Calibri" w:cs="Calibri"/>
        </w:rPr>
        <w:t xml:space="preserve">, follow us on Twitter </w:t>
      </w:r>
      <w:hyperlink r:id="rId7" w:history="1">
        <w:r>
          <w:rPr>
            <w:rFonts w:ascii="Calibri" w:hAnsi="Calibri" w:cs="Calibri"/>
            <w:color w:val="0B4CB4"/>
            <w:u w:val="single" w:color="0B4CB4"/>
          </w:rPr>
          <w:t>@BMI</w:t>
        </w:r>
      </w:hyperlink>
      <w:r>
        <w:rPr>
          <w:rFonts w:ascii="Calibri" w:hAnsi="Calibri" w:cs="Calibri"/>
        </w:rPr>
        <w:t xml:space="preserve"> or stay connected through Broadcast Music, Inc.'s</w:t>
      </w:r>
      <w:hyperlink r:id="rId8" w:history="1">
        <w:r>
          <w:rPr>
            <w:rFonts w:ascii="Calibri" w:hAnsi="Calibri" w:cs="Calibri"/>
            <w:color w:val="0B4CB4"/>
            <w:u w:val="single" w:color="0B4CB4"/>
          </w:rPr>
          <w:t> Facebook page</w:t>
        </w:r>
      </w:hyperlink>
      <w:r>
        <w:rPr>
          <w:rFonts w:ascii="Calibri" w:hAnsi="Calibri" w:cs="Calibri"/>
        </w:rPr>
        <w:t>.</w:t>
      </w:r>
    </w:p>
    <w:p w14:paraId="3931CA35" w14:textId="634B5251" w:rsidR="00D53886" w:rsidRDefault="00D53886" w:rsidP="00D53886">
      <w:pPr>
        <w:jc w:val="center"/>
        <w:rPr>
          <w:sz w:val="24"/>
          <w:szCs w:val="24"/>
        </w:rPr>
      </w:pPr>
    </w:p>
    <w:p w14:paraId="4627224E" w14:textId="77777777" w:rsidR="00D53886" w:rsidRPr="00813C23" w:rsidRDefault="00D53886" w:rsidP="00D53886">
      <w:pPr>
        <w:jc w:val="center"/>
        <w:rPr>
          <w:sz w:val="24"/>
          <w:szCs w:val="24"/>
        </w:rPr>
      </w:pPr>
      <w:r>
        <w:rPr>
          <w:sz w:val="24"/>
          <w:szCs w:val="24"/>
        </w:rPr>
        <w:t>###</w:t>
      </w:r>
    </w:p>
    <w:p w14:paraId="665BD603" w14:textId="77777777" w:rsidR="00711CC6" w:rsidRPr="00813C23" w:rsidRDefault="00711CC6">
      <w:pPr>
        <w:rPr>
          <w:sz w:val="24"/>
          <w:szCs w:val="24"/>
        </w:rPr>
      </w:pPr>
    </w:p>
    <w:sectPr w:rsidR="00711CC6" w:rsidRPr="0081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B9"/>
    <w:rsid w:val="00261F11"/>
    <w:rsid w:val="00382DBE"/>
    <w:rsid w:val="0049740D"/>
    <w:rsid w:val="005D1D53"/>
    <w:rsid w:val="00697080"/>
    <w:rsid w:val="00711CC6"/>
    <w:rsid w:val="00743BB9"/>
    <w:rsid w:val="00813C23"/>
    <w:rsid w:val="00857DEB"/>
    <w:rsid w:val="00883DEA"/>
    <w:rsid w:val="00913312"/>
    <w:rsid w:val="009442F9"/>
    <w:rsid w:val="00D53886"/>
    <w:rsid w:val="00F7049B"/>
    <w:rsid w:val="00FA3875"/>
    <w:rsid w:val="00FD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A228"/>
  <w15:chartTrackingRefBased/>
  <w15:docId w15:val="{00945DF8-BCA6-47D4-AC0C-2959FFE3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11"/>
    <w:rPr>
      <w:color w:val="0000FF"/>
      <w:u w:val="single"/>
    </w:rPr>
  </w:style>
  <w:style w:type="paragraph" w:styleId="BalloonText">
    <w:name w:val="Balloon Text"/>
    <w:basedOn w:val="Normal"/>
    <w:link w:val="BalloonTextChar"/>
    <w:uiPriority w:val="99"/>
    <w:semiHidden/>
    <w:unhideWhenUsed/>
    <w:rsid w:val="005D1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www.bmi.com/pdfs/advocacy/usa_v_bmi_opinion_2016_09_16.pdf" TargetMode="External"/><Relationship Id="rId6" Type="http://schemas.openxmlformats.org/officeDocument/2006/relationships/hyperlink" Target="http://www.bmi.com/" TargetMode="External"/><Relationship Id="rId7" Type="http://schemas.openxmlformats.org/officeDocument/2006/relationships/hyperlink" Target="http://www.twitter.com/bmi" TargetMode="External"/><Relationship Id="rId8" Type="http://schemas.openxmlformats.org/officeDocument/2006/relationships/hyperlink" Target="http://www.facebook.com/broadcastmusicin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Gumer, Caroline</cp:lastModifiedBy>
  <cp:revision>8</cp:revision>
  <cp:lastPrinted>2016-09-16T21:57:00Z</cp:lastPrinted>
  <dcterms:created xsi:type="dcterms:W3CDTF">2016-09-16T21:56:00Z</dcterms:created>
  <dcterms:modified xsi:type="dcterms:W3CDTF">2017-01-26T16:13:00Z</dcterms:modified>
</cp:coreProperties>
</file>